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-46617</wp:posOffset>
            </wp:positionH>
            <wp:positionV relativeFrom="paragraph">
              <wp:posOffset>138113</wp:posOffset>
            </wp:positionV>
            <wp:extent cx="1246768" cy="6657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768" cy="66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839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6"/>
        <w:gridCol w:w="9216"/>
        <w:gridCol w:w="2297"/>
        <w:tblGridChange w:id="0">
          <w:tblGrid>
            <w:gridCol w:w="5326"/>
            <w:gridCol w:w="9216"/>
            <w:gridCol w:w="2297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ind w:left="14" w:firstLine="0"/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                      SCERTS in Action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mbria" w:cs="Cambria" w:eastAsia="Cambria" w:hAnsi="Cambria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32"/>
                <w:szCs w:val="32"/>
                <w:rtl w:val="0"/>
              </w:rPr>
              <w:t xml:space="preserve">FOCUS –   Foundation Of Clear, Useful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32"/>
                <w:szCs w:val="32"/>
                <w:rtl w:val="0"/>
              </w:rPr>
              <w:t xml:space="preserve"> 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        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Learner:</w:t>
        <w:tab/>
        <w:tab/>
        <w:tab/>
        <w:tab/>
        <w:t xml:space="preserve">Date: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Location:</w:t>
        <w:tab/>
        <w:tab/>
        <w:tab/>
        <w:tab/>
        <w:t xml:space="preserve">Observers: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76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 Observed: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0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76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0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0" w:right="71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Communication (SC)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Transactional Supports for SC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92" w:lineRule="auto"/>
              <w:ind w:left="176" w:right="71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0" w:right="25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Joint Attention; Why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25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meet needs,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25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share attention,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25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engage socially,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256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share experiences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25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express emotions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720" w:right="134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1020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Symbol Use; How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imitate actions/words,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gestures,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gaze,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vocal,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verbal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symbols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Interpersonal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interactive style modifications </w:t>
            </w:r>
          </w:p>
          <w:p w:rsidR="00000000" w:rsidDel="00000000" w:rsidP="00000000" w:rsidRDefault="00000000" w:rsidRPr="00000000" w14:paraId="0000002A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responsive</w:t>
            </w:r>
          </w:p>
          <w:p w:rsidR="00000000" w:rsidDel="00000000" w:rsidP="00000000" w:rsidRDefault="00000000" w:rsidRPr="00000000" w14:paraId="0000002B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foster initiation</w:t>
            </w:r>
          </w:p>
          <w:p w:rsidR="00000000" w:rsidDel="00000000" w:rsidP="00000000" w:rsidRDefault="00000000" w:rsidRPr="00000000" w14:paraId="0000002C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respect independence</w:t>
            </w:r>
          </w:p>
          <w:p w:rsidR="00000000" w:rsidDel="00000000" w:rsidP="00000000" w:rsidRDefault="00000000" w:rsidRPr="00000000" w14:paraId="0000002D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developmentally sensible</w:t>
            </w:r>
          </w:p>
          <w:p w:rsidR="00000000" w:rsidDel="00000000" w:rsidP="00000000" w:rsidRDefault="00000000" w:rsidRPr="00000000" w14:paraId="0000002E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modify language</w:t>
            </w:r>
          </w:p>
          <w:p w:rsidR="00000000" w:rsidDel="00000000" w:rsidP="00000000" w:rsidRDefault="00000000" w:rsidRPr="00000000" w14:paraId="0000002F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71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10202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Learning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activity and environmental modifications </w:t>
            </w:r>
          </w:p>
          <w:p w:rsidR="00000000" w:rsidDel="00000000" w:rsidP="00000000" w:rsidRDefault="00000000" w:rsidRPr="00000000" w14:paraId="00000033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clear structure</w:t>
            </w:r>
          </w:p>
          <w:p w:rsidR="00000000" w:rsidDel="00000000" w:rsidP="00000000" w:rsidRDefault="00000000" w:rsidRPr="00000000" w14:paraId="00000034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augmentative communication</w:t>
            </w:r>
          </w:p>
          <w:p w:rsidR="00000000" w:rsidDel="00000000" w:rsidP="00000000" w:rsidRDefault="00000000" w:rsidRPr="00000000" w14:paraId="00000035">
            <w:pPr>
              <w:pageBreakBefore w:val="0"/>
              <w:ind w:left="144" w:firstLine="0"/>
              <w:rPr>
                <w:rFonts w:ascii="Cambria" w:cs="Cambria" w:eastAsia="Cambria" w:hAnsi="Cambria"/>
                <w:color w:val="010202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visual and organizational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Emotional Regulation (ER)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020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Transactional Supports for ER</w:t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0" w:right="178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Mutual Regulation; With Others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17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respond to assistance offered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7"/>
              </w:tabs>
              <w:spacing w:after="0" w:before="14" w:line="235" w:lineRule="auto"/>
              <w:ind w:left="144" w:right="178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seek assistance from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5"/>
                <w:tab w:val="left" w:pos="836"/>
              </w:tabs>
              <w:spacing w:after="0" w:before="14" w:line="235" w:lineRule="auto"/>
              <w:ind w:left="0" w:right="367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Self-Regulation; On Their Own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sensory motor behaviors,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information/ language strategies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metacognitive/ reflective strategies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Interpersonal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interactive style modifications </w:t>
            </w:r>
          </w:p>
          <w:p w:rsidR="00000000" w:rsidDel="00000000" w:rsidP="00000000" w:rsidRDefault="00000000" w:rsidRPr="00000000" w14:paraId="00000044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responsive</w:t>
            </w:r>
          </w:p>
          <w:p w:rsidR="00000000" w:rsidDel="00000000" w:rsidP="00000000" w:rsidRDefault="00000000" w:rsidRPr="00000000" w14:paraId="00000045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foster initiation</w:t>
            </w:r>
          </w:p>
          <w:p w:rsidR="00000000" w:rsidDel="00000000" w:rsidP="00000000" w:rsidRDefault="00000000" w:rsidRPr="00000000" w14:paraId="00000046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respect independence</w:t>
            </w:r>
          </w:p>
          <w:p w:rsidR="00000000" w:rsidDel="00000000" w:rsidP="00000000" w:rsidRDefault="00000000" w:rsidRPr="00000000" w14:paraId="00000047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developmentally sensible</w:t>
            </w:r>
          </w:p>
          <w:p w:rsidR="00000000" w:rsidDel="00000000" w:rsidP="00000000" w:rsidRDefault="00000000" w:rsidRPr="00000000" w14:paraId="00000048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modify language</w:t>
            </w:r>
          </w:p>
          <w:p w:rsidR="00000000" w:rsidDel="00000000" w:rsidP="00000000" w:rsidRDefault="00000000" w:rsidRPr="00000000" w14:paraId="00000049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Cambria" w:cs="Cambria" w:eastAsia="Cambria" w:hAnsi="Cambria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Learning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activity and environmental modifications </w:t>
            </w:r>
          </w:p>
          <w:p w:rsidR="00000000" w:rsidDel="00000000" w:rsidP="00000000" w:rsidRDefault="00000000" w:rsidRPr="00000000" w14:paraId="00000051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clear structure</w:t>
            </w:r>
          </w:p>
          <w:p w:rsidR="00000000" w:rsidDel="00000000" w:rsidP="00000000" w:rsidRDefault="00000000" w:rsidRPr="00000000" w14:paraId="00000052">
            <w:pPr>
              <w:pageBreakBefore w:val="0"/>
              <w:ind w:left="14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augmentative communication</w:t>
            </w:r>
          </w:p>
          <w:p w:rsidR="00000000" w:rsidDel="00000000" w:rsidP="00000000" w:rsidRDefault="00000000" w:rsidRPr="00000000" w14:paraId="00000053">
            <w:pPr>
              <w:pageBreakBefore w:val="0"/>
              <w:ind w:left="144" w:firstLine="0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visual and organizational support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288" w:top="360" w:left="864" w:right="720" w:header="706" w:footer="3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Content adapted for internal use only from Prizant et al. (2006).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THE SCERTS Model:  Volume I: Assessment &amp; Volume II: Program planning and intervention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 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Baltimore, MD.  Brookes Publishing Co.  Do not distribute without permission.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242D75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n-US"/>
    </w:rPr>
  </w:style>
  <w:style w:type="paragraph" w:styleId="Heading8">
    <w:name w:val="heading 8"/>
    <w:basedOn w:val="Normal"/>
    <w:link w:val="Heading8Char"/>
    <w:uiPriority w:val="1"/>
    <w:qFormat w:val="1"/>
    <w:rsid w:val="00242D75"/>
    <w:pPr>
      <w:spacing w:before="107"/>
      <w:ind w:left="839"/>
      <w:outlineLvl w:val="7"/>
    </w:pPr>
    <w:rPr>
      <w:rFonts w:ascii="Verdana" w:cs="Verdana" w:eastAsia="Verdana" w:hAnsi="Verdana"/>
      <w:b w:val="1"/>
      <w:bCs w:val="1"/>
      <w:sz w:val="19"/>
      <w:szCs w:val="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8Char" w:customStyle="1">
    <w:name w:val="Heading 8 Char"/>
    <w:basedOn w:val="DefaultParagraphFont"/>
    <w:link w:val="Heading8"/>
    <w:uiPriority w:val="1"/>
    <w:rsid w:val="00242D75"/>
    <w:rPr>
      <w:rFonts w:ascii="Verdana" w:cs="Verdana" w:eastAsia="Verdana" w:hAnsi="Verdana"/>
      <w:b w:val="1"/>
      <w:bCs w:val="1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242D75"/>
    <w:rPr>
      <w:rFonts w:ascii="Verdana" w:cs="Verdana" w:eastAsia="Verdana" w:hAnsi="Verdana"/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242D75"/>
    <w:rPr>
      <w:rFonts w:ascii="Verdana" w:cs="Verdana" w:eastAsia="Verdana" w:hAnsi="Verdana"/>
      <w:sz w:val="17"/>
      <w:szCs w:val="17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242D75"/>
  </w:style>
  <w:style w:type="table" w:styleId="TableGrid">
    <w:name w:val="Table Grid"/>
    <w:basedOn w:val="TableNormal"/>
    <w:uiPriority w:val="39"/>
    <w:rsid w:val="006645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E25A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25A4"/>
    <w:rPr>
      <w:rFonts w:ascii="Calibri" w:cs="Calibri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AE25A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25A4"/>
    <w:rPr>
      <w:rFonts w:ascii="Calibri" w:cs="Calibri" w:eastAsia="Calibri" w:hAnsi="Calibri"/>
      <w:lang w:val="en-US"/>
    </w:rPr>
  </w:style>
  <w:style w:type="paragraph" w:styleId="Normal1" w:customStyle="1">
    <w:name w:val="Normal1"/>
    <w:rsid w:val="00AE25A4"/>
    <w:pPr>
      <w:spacing w:after="200" w:line="276" w:lineRule="auto"/>
    </w:pPr>
    <w:rPr>
      <w:rFonts w:ascii="Calibri" w:cs="Calibri" w:eastAsia="Calibri" w:hAnsi="Calibri"/>
      <w:color w:val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AalDFqzGGMM0bGyN5eEFfL6Lw==">AMUW2mWD5NAgRcOVZltB5JV4jw+QvWcDA9s/c5HWWabnCP/hdYbhM3oreajYPVbolvYVn8oLjQzeXLZ6CGYwSDKf1Z15z/NNceoGofZFHqfuSpG95r6rU6cKoXKawWdD98qtisIC8btN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2021-01-29T03:39:00Z</dcterms:created>
  <dc:creator>Kate Varona</dc:creator>
</cp:coreProperties>
</file>