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1586" w14:textId="210067B5" w:rsidR="00C1166A" w:rsidRDefault="00C1166A" w:rsidP="00C1166A">
      <w:pPr>
        <w:rPr>
          <w:rFonts w:ascii="Comic Sans MS" w:hAnsi="Comic Sans MS"/>
          <w:b/>
          <w:bCs/>
          <w:lang w:val="en-US"/>
        </w:rPr>
      </w:pPr>
      <w:r w:rsidRPr="002F5E0D">
        <w:rPr>
          <w:rFonts w:ascii="Comic Sans MS" w:hAnsi="Comic Sans MS"/>
          <w:b/>
          <w:bCs/>
          <w:lang w:val="en-US"/>
        </w:rPr>
        <w:t xml:space="preserve">Water Safety Lesson Plan </w:t>
      </w:r>
      <w:r w:rsidR="00760DD1">
        <w:rPr>
          <w:rFonts w:ascii="Comic Sans MS" w:hAnsi="Comic Sans MS"/>
          <w:b/>
          <w:bCs/>
          <w:lang w:val="en-US"/>
        </w:rPr>
        <w:t>1</w:t>
      </w:r>
      <w:r w:rsidR="004C0C18">
        <w:rPr>
          <w:rFonts w:ascii="Comic Sans MS" w:hAnsi="Comic Sans MS"/>
          <w:b/>
          <w:bCs/>
          <w:lang w:val="en-US"/>
        </w:rPr>
        <w:t>2</w:t>
      </w:r>
      <w:r w:rsidRPr="002F5E0D">
        <w:rPr>
          <w:rFonts w:ascii="Comic Sans MS" w:hAnsi="Comic Sans MS"/>
          <w:b/>
          <w:bCs/>
          <w:lang w:val="en-US"/>
        </w:rPr>
        <w:t xml:space="preserve"> </w:t>
      </w:r>
      <w:r>
        <w:rPr>
          <w:rFonts w:ascii="Comic Sans MS" w:hAnsi="Comic Sans MS"/>
          <w:b/>
          <w:bCs/>
          <w:lang w:val="en-US"/>
        </w:rPr>
        <w:t>Cold Water Shock</w:t>
      </w:r>
      <w:r w:rsidR="00640EA3">
        <w:rPr>
          <w:rFonts w:ascii="Comic Sans MS" w:hAnsi="Comic Sans MS"/>
          <w:b/>
          <w:bCs/>
          <w:lang w:val="en-US"/>
        </w:rPr>
        <w:t xml:space="preserve"> -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7"/>
        <w:gridCol w:w="2399"/>
      </w:tblGrid>
      <w:tr w:rsidR="00C1166A" w:rsidRPr="00E16078" w14:paraId="56143BC6" w14:textId="77777777" w:rsidTr="00F45E43">
        <w:tc>
          <w:tcPr>
            <w:tcW w:w="8057" w:type="dxa"/>
            <w:shd w:val="clear" w:color="auto" w:fill="FFFF00"/>
          </w:tcPr>
          <w:p w14:paraId="27CC9F2F" w14:textId="397AAF46" w:rsidR="00C1166A" w:rsidRPr="00E16078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Y5 WATER SAFETY – Lesson </w:t>
            </w:r>
            <w:r w:rsidR="00760DD1">
              <w:rPr>
                <w:rFonts w:ascii="Comic Sans MS" w:hAnsi="Comic Sans MS"/>
                <w:b/>
                <w:sz w:val="18"/>
              </w:rPr>
              <w:t>1</w:t>
            </w:r>
            <w:r w:rsidR="004C0C18">
              <w:rPr>
                <w:rFonts w:ascii="Comic Sans MS" w:hAnsi="Comic Sans MS"/>
                <w:b/>
                <w:sz w:val="18"/>
              </w:rPr>
              <w:t>2</w:t>
            </w:r>
            <w:r>
              <w:rPr>
                <w:rFonts w:ascii="Comic Sans MS" w:hAnsi="Comic Sans MS"/>
                <w:b/>
                <w:sz w:val="18"/>
              </w:rPr>
              <w:t xml:space="preserve"> Cold Water Shock </w:t>
            </w:r>
            <w:r w:rsidR="00640EA3">
              <w:rPr>
                <w:rFonts w:ascii="Comic Sans MS" w:hAnsi="Comic Sans MS"/>
                <w:b/>
                <w:sz w:val="18"/>
              </w:rPr>
              <w:t xml:space="preserve">- </w:t>
            </w:r>
            <w:r>
              <w:rPr>
                <w:rFonts w:ascii="Comic Sans MS" w:hAnsi="Comic Sans MS"/>
                <w:b/>
                <w:sz w:val="18"/>
              </w:rPr>
              <w:t xml:space="preserve">Science </w:t>
            </w:r>
          </w:p>
        </w:tc>
        <w:tc>
          <w:tcPr>
            <w:tcW w:w="2399" w:type="dxa"/>
            <w:shd w:val="clear" w:color="auto" w:fill="F69932"/>
          </w:tcPr>
          <w:p w14:paraId="70039FBE" w14:textId="77777777" w:rsidR="00C1166A" w:rsidRDefault="00C1166A" w:rsidP="000D327D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C1166A" w:rsidRPr="00E16078" w14:paraId="09829655" w14:textId="77777777" w:rsidTr="00F45E43">
        <w:tc>
          <w:tcPr>
            <w:tcW w:w="8057" w:type="dxa"/>
            <w:shd w:val="clear" w:color="auto" w:fill="FFFF00"/>
          </w:tcPr>
          <w:p w14:paraId="61460F97" w14:textId="407B10BD" w:rsidR="00C1166A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Walt: </w:t>
            </w:r>
            <w:r w:rsidR="005A4A97">
              <w:rPr>
                <w:rFonts w:ascii="Comic Sans MS" w:hAnsi="Comic Sans MS"/>
                <w:b/>
                <w:sz w:val="18"/>
              </w:rPr>
              <w:t xml:space="preserve">conduct a </w:t>
            </w:r>
            <w:proofErr w:type="gramStart"/>
            <w:r w:rsidR="005A4A97">
              <w:rPr>
                <w:rFonts w:ascii="Comic Sans MS" w:hAnsi="Comic Sans MS"/>
                <w:b/>
                <w:sz w:val="18"/>
              </w:rPr>
              <w:t>Science</w:t>
            </w:r>
            <w:proofErr w:type="gramEnd"/>
            <w:r w:rsidR="005A4A97">
              <w:rPr>
                <w:rFonts w:ascii="Comic Sans MS" w:hAnsi="Comic Sans MS"/>
                <w:b/>
                <w:sz w:val="18"/>
              </w:rPr>
              <w:t xml:space="preserve"> experiment</w:t>
            </w:r>
          </w:p>
          <w:p w14:paraId="57D10CF0" w14:textId="77777777" w:rsidR="00C1166A" w:rsidRDefault="00C1166A" w:rsidP="000D327D">
            <w:pPr>
              <w:tabs>
                <w:tab w:val="left" w:pos="1820"/>
              </w:tabs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Wilf: </w:t>
            </w:r>
            <w:r>
              <w:rPr>
                <w:rFonts w:ascii="Comic Sans MS" w:hAnsi="Comic Sans MS"/>
                <w:b/>
                <w:sz w:val="18"/>
              </w:rPr>
              <w:tab/>
            </w:r>
          </w:p>
          <w:p w14:paraId="09EA4169" w14:textId="31921CCE" w:rsidR="00C1166A" w:rsidRDefault="00121AA2" w:rsidP="000D32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A prediction (what you think might happen) </w:t>
            </w:r>
          </w:p>
          <w:p w14:paraId="7ADC1409" w14:textId="0C958DAF" w:rsidR="00C1166A" w:rsidRDefault="00121AA2" w:rsidP="000D32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An explanation of what you did (the method) including equipment you used</w:t>
            </w:r>
          </w:p>
          <w:p w14:paraId="40E848EE" w14:textId="4D5A3E27" w:rsidR="00C1166A" w:rsidRPr="00121AA2" w:rsidRDefault="00121AA2" w:rsidP="00121AA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A conclusion (what you found out) </w:t>
            </w:r>
            <w:r w:rsidR="00C1166A" w:rsidRPr="00121AA2"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  <w:tc>
          <w:tcPr>
            <w:tcW w:w="2399" w:type="dxa"/>
            <w:vMerge w:val="restart"/>
            <w:shd w:val="clear" w:color="auto" w:fill="F69932"/>
          </w:tcPr>
          <w:p w14:paraId="2A429825" w14:textId="77777777" w:rsidR="00C1166A" w:rsidRDefault="00C1166A" w:rsidP="000D327D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Teaching Points/ Resources</w:t>
            </w:r>
          </w:p>
          <w:p w14:paraId="57D39A6F" w14:textId="28770975" w:rsidR="00C1166A" w:rsidRPr="005A4A97" w:rsidRDefault="00711F2F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Cold Water Challenge </w:t>
            </w:r>
            <w:proofErr w:type="gramStart"/>
            <w:r>
              <w:rPr>
                <w:rFonts w:ascii="Comic Sans MS" w:hAnsi="Comic Sans MS"/>
                <w:b/>
                <w:sz w:val="18"/>
              </w:rPr>
              <w:t>pp</w:t>
            </w:r>
            <w:proofErr w:type="gramEnd"/>
            <w:r>
              <w:rPr>
                <w:rFonts w:ascii="Comic Sans MS" w:hAnsi="Comic Sans MS"/>
                <w:b/>
                <w:sz w:val="18"/>
              </w:rPr>
              <w:t xml:space="preserve"> </w:t>
            </w:r>
            <w:r w:rsidR="00C1166A" w:rsidRPr="005A4A97">
              <w:rPr>
                <w:rFonts w:ascii="Comic Sans MS" w:hAnsi="Comic Sans MS"/>
                <w:b/>
                <w:sz w:val="18"/>
              </w:rPr>
              <w:t xml:space="preserve">Cold Water </w:t>
            </w:r>
            <w:r w:rsidR="00F45E43" w:rsidRPr="005A4A97">
              <w:rPr>
                <w:rFonts w:ascii="Comic Sans MS" w:hAnsi="Comic Sans MS"/>
                <w:b/>
                <w:sz w:val="18"/>
              </w:rPr>
              <w:t xml:space="preserve">Shock </w:t>
            </w:r>
            <w:r w:rsidR="00C1166A" w:rsidRPr="005A4A97">
              <w:rPr>
                <w:rFonts w:ascii="Comic Sans MS" w:hAnsi="Comic Sans MS"/>
                <w:b/>
                <w:sz w:val="18"/>
              </w:rPr>
              <w:t>Impact resources</w:t>
            </w:r>
          </w:p>
          <w:p w14:paraId="0A48951B" w14:textId="77777777" w:rsidR="00C1166A" w:rsidRPr="005A4A97" w:rsidRDefault="00C1166A" w:rsidP="00C1166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A4A97">
              <w:rPr>
                <w:rFonts w:ascii="Comic Sans MS" w:hAnsi="Comic Sans MS"/>
                <w:b/>
                <w:bCs/>
                <w:sz w:val="18"/>
                <w:szCs w:val="18"/>
              </w:rPr>
              <w:t>Thermometers</w:t>
            </w:r>
          </w:p>
          <w:p w14:paraId="1D8CD1FA" w14:textId="77777777" w:rsidR="00C1166A" w:rsidRPr="005A4A97" w:rsidRDefault="00C1166A" w:rsidP="00C1166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A4A97">
              <w:rPr>
                <w:rFonts w:ascii="Comic Sans MS" w:hAnsi="Comic Sans MS"/>
                <w:b/>
                <w:bCs/>
                <w:sz w:val="18"/>
                <w:szCs w:val="18"/>
              </w:rPr>
              <w:t>Ice</w:t>
            </w:r>
          </w:p>
          <w:p w14:paraId="3E601AE5" w14:textId="77777777" w:rsidR="00C1166A" w:rsidRPr="005A4A97" w:rsidRDefault="00C1166A" w:rsidP="00C1166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A4A97">
              <w:rPr>
                <w:rFonts w:ascii="Comic Sans MS" w:hAnsi="Comic Sans MS"/>
                <w:b/>
                <w:bCs/>
                <w:sz w:val="18"/>
                <w:szCs w:val="18"/>
              </w:rPr>
              <w:t>Buckets</w:t>
            </w:r>
          </w:p>
          <w:p w14:paraId="6533A660" w14:textId="131B21AE" w:rsidR="00206521" w:rsidRPr="00121AA2" w:rsidRDefault="00D014DA" w:rsidP="00D014D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</w:t>
            </w:r>
            <w:r w:rsidR="00206521">
              <w:rPr>
                <w:rFonts w:ascii="Comic Sans MS" w:hAnsi="Comic Sans MS"/>
                <w:b/>
                <w:bCs/>
                <w:sz w:val="18"/>
                <w:szCs w:val="18"/>
              </w:rPr>
              <w:t>esponse card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</w:p>
        </w:tc>
      </w:tr>
      <w:tr w:rsidR="00C1166A" w:rsidRPr="00E16078" w14:paraId="6A22789A" w14:textId="77777777" w:rsidTr="00F45E43">
        <w:tc>
          <w:tcPr>
            <w:tcW w:w="8057" w:type="dxa"/>
            <w:shd w:val="clear" w:color="auto" w:fill="8EAADB" w:themeFill="accent1" w:themeFillTint="99"/>
          </w:tcPr>
          <w:p w14:paraId="71CDEC1B" w14:textId="2E6056F3" w:rsidR="00C1166A" w:rsidRPr="001325B8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Introduction – recap on all ways to avoid danger. Today’s lesson is about something we hope will never happen but </w:t>
            </w:r>
            <w:r w:rsidR="00C4535C">
              <w:rPr>
                <w:rFonts w:ascii="Comic Sans MS" w:hAnsi="Comic Sans MS"/>
                <w:b/>
                <w:sz w:val="18"/>
              </w:rPr>
              <w:t xml:space="preserve">need to </w:t>
            </w:r>
            <w:proofErr w:type="gramStart"/>
            <w:r w:rsidR="00F45E43">
              <w:rPr>
                <w:rFonts w:ascii="Comic Sans MS" w:hAnsi="Comic Sans MS"/>
                <w:b/>
                <w:sz w:val="18"/>
              </w:rPr>
              <w:t>understanding</w:t>
            </w:r>
            <w:proofErr w:type="gramEnd"/>
            <w:r w:rsidR="00F45E43">
              <w:rPr>
                <w:rFonts w:ascii="Comic Sans MS" w:hAnsi="Comic Sans MS"/>
                <w:b/>
                <w:sz w:val="18"/>
              </w:rPr>
              <w:t xml:space="preserve"> </w:t>
            </w:r>
            <w:r w:rsidR="00C4535C">
              <w:rPr>
                <w:rFonts w:ascii="Comic Sans MS" w:hAnsi="Comic Sans MS"/>
                <w:b/>
                <w:sz w:val="18"/>
              </w:rPr>
              <w:t xml:space="preserve">as it </w:t>
            </w:r>
            <w:r>
              <w:rPr>
                <w:rFonts w:ascii="Comic Sans MS" w:hAnsi="Comic Sans MS"/>
                <w:b/>
                <w:sz w:val="18"/>
              </w:rPr>
              <w:t xml:space="preserve">could one day save your life. </w:t>
            </w:r>
          </w:p>
        </w:tc>
        <w:tc>
          <w:tcPr>
            <w:tcW w:w="2399" w:type="dxa"/>
            <w:vMerge/>
            <w:shd w:val="clear" w:color="auto" w:fill="8EAADB" w:themeFill="accent1" w:themeFillTint="99"/>
          </w:tcPr>
          <w:p w14:paraId="03E7AE9D" w14:textId="77777777" w:rsidR="00C1166A" w:rsidRPr="00E16078" w:rsidRDefault="00C1166A" w:rsidP="000D327D">
            <w:pPr>
              <w:pStyle w:val="ListParagraph"/>
              <w:rPr>
                <w:rFonts w:ascii="Comic Sans MS" w:hAnsi="Comic Sans MS"/>
                <w:b/>
                <w:sz w:val="18"/>
              </w:rPr>
            </w:pPr>
          </w:p>
        </w:tc>
      </w:tr>
      <w:tr w:rsidR="00C1166A" w:rsidRPr="00E16078" w14:paraId="310C8C2E" w14:textId="77777777" w:rsidTr="000D327D">
        <w:tc>
          <w:tcPr>
            <w:tcW w:w="10456" w:type="dxa"/>
            <w:gridSpan w:val="2"/>
            <w:shd w:val="clear" w:color="auto" w:fill="DDA5DA"/>
          </w:tcPr>
          <w:p w14:paraId="0771BA81" w14:textId="77777777" w:rsidR="00C1166A" w:rsidRPr="00F45E43" w:rsidRDefault="00C1166A" w:rsidP="00F45E43">
            <w:pPr>
              <w:rPr>
                <w:rFonts w:ascii="Comic Sans MS" w:hAnsi="Comic Sans MS"/>
                <w:b/>
                <w:sz w:val="18"/>
              </w:rPr>
            </w:pPr>
            <w:r w:rsidRPr="00F45E43">
              <w:rPr>
                <w:rFonts w:ascii="Comic Sans MS" w:hAnsi="Comic Sans MS"/>
                <w:b/>
                <w:sz w:val="18"/>
              </w:rPr>
              <w:t xml:space="preserve">Development activity - familiarisation </w:t>
            </w:r>
          </w:p>
        </w:tc>
      </w:tr>
      <w:tr w:rsidR="00C1166A" w:rsidRPr="00E16078" w14:paraId="7E5E00F9" w14:textId="77777777" w:rsidTr="00F45E43">
        <w:tc>
          <w:tcPr>
            <w:tcW w:w="8057" w:type="dxa"/>
          </w:tcPr>
          <w:p w14:paraId="496A85B8" w14:textId="54D1D7B0" w:rsidR="00C1166A" w:rsidRPr="00B13F3B" w:rsidRDefault="00F45E43" w:rsidP="000D327D">
            <w:pPr>
              <w:rPr>
                <w:rFonts w:ascii="Comic Sans MS" w:hAnsi="Comic Sans MS"/>
                <w:b/>
                <w:sz w:val="4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Use pp to set the scene, recap on understanding of </w:t>
            </w:r>
            <w:r w:rsidR="00B54123">
              <w:rPr>
                <w:rFonts w:ascii="Comic Sans MS" w:hAnsi="Comic Sans MS"/>
                <w:b/>
                <w:sz w:val="18"/>
              </w:rPr>
              <w:t xml:space="preserve">open, </w:t>
            </w:r>
            <w:r>
              <w:rPr>
                <w:rFonts w:ascii="Comic Sans MS" w:hAnsi="Comic Sans MS"/>
                <w:b/>
                <w:sz w:val="18"/>
              </w:rPr>
              <w:t>outdoor water</w:t>
            </w:r>
            <w:r w:rsidR="005A4A97">
              <w:rPr>
                <w:rFonts w:ascii="Comic Sans MS" w:hAnsi="Comic Sans MS"/>
                <w:b/>
                <w:sz w:val="18"/>
              </w:rPr>
              <w:t xml:space="preserve"> and associated dangers</w:t>
            </w:r>
            <w:r w:rsidR="00121AA2">
              <w:rPr>
                <w:rFonts w:ascii="Comic Sans MS" w:hAnsi="Comic Sans MS"/>
                <w:b/>
                <w:sz w:val="18"/>
              </w:rPr>
              <w:t xml:space="preserve"> and how these might impact on our physical and mental capabilities</w:t>
            </w:r>
            <w:r w:rsidR="005A4A97">
              <w:rPr>
                <w:rFonts w:ascii="Comic Sans MS" w:hAnsi="Comic Sans MS"/>
                <w:b/>
                <w:sz w:val="18"/>
              </w:rPr>
              <w:t xml:space="preserve">. </w:t>
            </w:r>
          </w:p>
        </w:tc>
        <w:tc>
          <w:tcPr>
            <w:tcW w:w="2399" w:type="dxa"/>
          </w:tcPr>
          <w:p w14:paraId="1698C8DA" w14:textId="77777777" w:rsidR="00C1166A" w:rsidRPr="00940366" w:rsidRDefault="00C1166A" w:rsidP="000D327D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C1166A" w:rsidRPr="00E16078" w14:paraId="12015662" w14:textId="77777777" w:rsidTr="000D327D">
        <w:tc>
          <w:tcPr>
            <w:tcW w:w="10456" w:type="dxa"/>
            <w:gridSpan w:val="2"/>
            <w:shd w:val="clear" w:color="auto" w:fill="F830CD"/>
          </w:tcPr>
          <w:p w14:paraId="77584FFB" w14:textId="77777777" w:rsidR="00C1166A" w:rsidRPr="00E16078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Main Activity </w:t>
            </w:r>
          </w:p>
        </w:tc>
      </w:tr>
      <w:tr w:rsidR="00C1166A" w:rsidRPr="00E16078" w14:paraId="102AC94B" w14:textId="77777777" w:rsidTr="00F45E43">
        <w:tc>
          <w:tcPr>
            <w:tcW w:w="8057" w:type="dxa"/>
          </w:tcPr>
          <w:p w14:paraId="10F0726A" w14:textId="23F7156E" w:rsidR="00C1166A" w:rsidRPr="00203C8A" w:rsidRDefault="005A4A97" w:rsidP="00203C8A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Set up experiment (3 buckets of water of different temperatures ranging from warm 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to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cold to water with ice in). Predict what it will feel like to put hand in starting with warm and progressing to iced water. </w:t>
            </w:r>
            <w:r w:rsidR="00C1166A">
              <w:rPr>
                <w:rFonts w:ascii="Comic Sans MS" w:hAnsi="Comic Sans MS"/>
                <w:b/>
                <w:sz w:val="18"/>
              </w:rPr>
              <w:t>Write up experiment using</w:t>
            </w:r>
            <w:r w:rsidR="00B54123">
              <w:rPr>
                <w:rFonts w:ascii="Comic Sans MS" w:hAnsi="Comic Sans MS"/>
                <w:b/>
                <w:sz w:val="18"/>
              </w:rPr>
              <w:t xml:space="preserve"> </w:t>
            </w:r>
            <w:r w:rsidR="00C1166A">
              <w:rPr>
                <w:rFonts w:ascii="Comic Sans MS" w:hAnsi="Comic Sans MS"/>
                <w:b/>
                <w:sz w:val="18"/>
              </w:rPr>
              <w:t xml:space="preserve">sheet </w:t>
            </w:r>
            <w:r>
              <w:rPr>
                <w:rFonts w:ascii="Comic Sans MS" w:hAnsi="Comic Sans MS"/>
                <w:b/>
                <w:sz w:val="18"/>
              </w:rPr>
              <w:t>including conclusion.</w:t>
            </w:r>
          </w:p>
        </w:tc>
        <w:tc>
          <w:tcPr>
            <w:tcW w:w="2399" w:type="dxa"/>
          </w:tcPr>
          <w:p w14:paraId="7361F617" w14:textId="77777777" w:rsidR="00C1166A" w:rsidRPr="001047D6" w:rsidRDefault="00C1166A" w:rsidP="000D327D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C1166A" w:rsidRPr="00E16078" w14:paraId="40748080" w14:textId="77777777" w:rsidTr="000D327D">
        <w:tc>
          <w:tcPr>
            <w:tcW w:w="10456" w:type="dxa"/>
            <w:gridSpan w:val="2"/>
            <w:shd w:val="clear" w:color="auto" w:fill="92D050"/>
          </w:tcPr>
          <w:p w14:paraId="5478FC51" w14:textId="77777777" w:rsidR="00C1166A" w:rsidRPr="00203C8A" w:rsidRDefault="00C1166A" w:rsidP="00203C8A">
            <w:pPr>
              <w:rPr>
                <w:rFonts w:ascii="Comic Sans MS" w:hAnsi="Comic Sans MS"/>
                <w:b/>
                <w:sz w:val="18"/>
              </w:rPr>
            </w:pPr>
            <w:r w:rsidRPr="00203C8A">
              <w:rPr>
                <w:rFonts w:ascii="Comic Sans MS" w:hAnsi="Comic Sans MS"/>
                <w:b/>
                <w:sz w:val="18"/>
              </w:rPr>
              <w:t xml:space="preserve">Observation task – What can I see? </w:t>
            </w:r>
          </w:p>
        </w:tc>
      </w:tr>
      <w:tr w:rsidR="00C1166A" w:rsidRPr="00E16078" w14:paraId="66999D8E" w14:textId="77777777" w:rsidTr="00F45E43">
        <w:tc>
          <w:tcPr>
            <w:tcW w:w="8057" w:type="dxa"/>
          </w:tcPr>
          <w:p w14:paraId="50727681" w14:textId="77777777" w:rsidR="00C1166A" w:rsidRPr="00103715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 w:rsidRPr="00103715">
              <w:rPr>
                <w:rFonts w:ascii="Comic Sans MS" w:hAnsi="Comic Sans MS"/>
                <w:b/>
                <w:sz w:val="18"/>
              </w:rPr>
              <w:t xml:space="preserve">Have a look at partner’s </w:t>
            </w:r>
            <w:r>
              <w:rPr>
                <w:rFonts w:ascii="Comic Sans MS" w:hAnsi="Comic Sans MS"/>
                <w:b/>
                <w:sz w:val="18"/>
              </w:rPr>
              <w:t xml:space="preserve">experiment </w:t>
            </w:r>
            <w:r w:rsidRPr="00103715">
              <w:rPr>
                <w:rFonts w:ascii="Comic Sans MS" w:hAnsi="Comic Sans MS"/>
                <w:b/>
                <w:sz w:val="18"/>
              </w:rPr>
              <w:t xml:space="preserve">sheet. Is it the same/different to yours? </w:t>
            </w:r>
          </w:p>
        </w:tc>
        <w:tc>
          <w:tcPr>
            <w:tcW w:w="2399" w:type="dxa"/>
          </w:tcPr>
          <w:p w14:paraId="5239220E" w14:textId="77777777" w:rsidR="00C1166A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Ask the observer to look out for 2 things:</w:t>
            </w:r>
          </w:p>
          <w:p w14:paraId="74DC6234" w14:textId="77777777" w:rsidR="00C1166A" w:rsidRDefault="00C1166A" w:rsidP="000D327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Check for anything missing </w:t>
            </w:r>
          </w:p>
          <w:p w14:paraId="45B04D0A" w14:textId="4A90C7FB" w:rsidR="00C1166A" w:rsidRPr="008F22E8" w:rsidRDefault="00C1166A" w:rsidP="000D327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Discuss </w:t>
            </w:r>
            <w:r w:rsidR="00203C8A">
              <w:rPr>
                <w:rFonts w:ascii="Comic Sans MS" w:hAnsi="Comic Sans MS"/>
                <w:b/>
                <w:sz w:val="18"/>
              </w:rPr>
              <w:t>the conclusion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14:paraId="1788650F" w14:textId="77777777" w:rsidR="00C1166A" w:rsidRPr="008B1129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Share some observations. </w:t>
            </w:r>
          </w:p>
        </w:tc>
      </w:tr>
      <w:tr w:rsidR="00C1166A" w:rsidRPr="00E16078" w14:paraId="23EE1240" w14:textId="77777777" w:rsidTr="000D327D">
        <w:tc>
          <w:tcPr>
            <w:tcW w:w="10456" w:type="dxa"/>
            <w:gridSpan w:val="2"/>
            <w:shd w:val="clear" w:color="auto" w:fill="00B0F0"/>
          </w:tcPr>
          <w:p w14:paraId="2E3E37C3" w14:textId="77777777" w:rsidR="00C1166A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Competition Time </w:t>
            </w:r>
          </w:p>
        </w:tc>
      </w:tr>
      <w:tr w:rsidR="00C1166A" w:rsidRPr="00E16078" w14:paraId="2E478D01" w14:textId="77777777" w:rsidTr="00F45E43">
        <w:tc>
          <w:tcPr>
            <w:tcW w:w="8057" w:type="dxa"/>
          </w:tcPr>
          <w:p w14:paraId="7F3EF5FE" w14:textId="19355FF2" w:rsidR="00C1166A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Use </w:t>
            </w:r>
            <w:r w:rsidR="00711F2F">
              <w:rPr>
                <w:rFonts w:ascii="Comic Sans MS" w:hAnsi="Comic Sans MS"/>
                <w:b/>
                <w:sz w:val="18"/>
              </w:rPr>
              <w:t>slides 14 onwards on pp ‘Co</w:t>
            </w:r>
            <w:r>
              <w:rPr>
                <w:rFonts w:ascii="Comic Sans MS" w:hAnsi="Comic Sans MS"/>
                <w:b/>
                <w:sz w:val="18"/>
              </w:rPr>
              <w:t xml:space="preserve">ld </w:t>
            </w:r>
            <w:r w:rsidR="00711F2F">
              <w:rPr>
                <w:rFonts w:ascii="Comic Sans MS" w:hAnsi="Comic Sans MS"/>
                <w:b/>
                <w:sz w:val="18"/>
              </w:rPr>
              <w:t>W</w:t>
            </w:r>
            <w:r>
              <w:rPr>
                <w:rFonts w:ascii="Comic Sans MS" w:hAnsi="Comic Sans MS"/>
                <w:b/>
                <w:sz w:val="18"/>
              </w:rPr>
              <w:t>ater</w:t>
            </w:r>
            <w:r w:rsidR="00711F2F">
              <w:rPr>
                <w:rFonts w:ascii="Comic Sans MS" w:hAnsi="Comic Sans MS"/>
                <w:b/>
                <w:sz w:val="18"/>
              </w:rPr>
              <w:t xml:space="preserve"> Impact’</w:t>
            </w:r>
            <w:r w:rsidR="00206521">
              <w:rPr>
                <w:rFonts w:ascii="Comic Sans MS" w:hAnsi="Comic Sans MS"/>
                <w:b/>
                <w:sz w:val="18"/>
              </w:rPr>
              <w:t xml:space="preserve"> on body and mind</w:t>
            </w:r>
            <w:r w:rsidR="00711F2F">
              <w:rPr>
                <w:rFonts w:ascii="Comic Sans MS" w:hAnsi="Comic Sans MS"/>
                <w:b/>
                <w:sz w:val="18"/>
              </w:rPr>
              <w:t xml:space="preserve">. </w:t>
            </w:r>
            <w:r w:rsidR="00206521">
              <w:rPr>
                <w:rFonts w:ascii="Comic Sans MS" w:hAnsi="Comic Sans MS"/>
                <w:b/>
                <w:sz w:val="18"/>
              </w:rPr>
              <w:t>Use Cold Water response cards.</w:t>
            </w:r>
            <w:r w:rsidR="007F628A">
              <w:rPr>
                <w:rFonts w:ascii="Comic Sans MS" w:hAnsi="Comic Sans MS"/>
                <w:b/>
                <w:sz w:val="18"/>
              </w:rPr>
              <w:t xml:space="preserve"> How would Homer Simpson feel? Slide 18</w:t>
            </w:r>
          </w:p>
          <w:p w14:paraId="2D6FFBD3" w14:textId="77777777" w:rsidR="00C1166A" w:rsidRPr="000C0FAC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Quiz Time. Ask a question for someone else to answer.</w:t>
            </w:r>
          </w:p>
        </w:tc>
        <w:tc>
          <w:tcPr>
            <w:tcW w:w="2399" w:type="dxa"/>
          </w:tcPr>
          <w:p w14:paraId="3C1C8C85" w14:textId="77777777" w:rsidR="00C1166A" w:rsidRPr="000C0FAC" w:rsidRDefault="00C1166A" w:rsidP="000D327D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C1166A" w:rsidRPr="00E16078" w14:paraId="37202811" w14:textId="77777777" w:rsidTr="000D327D">
        <w:tc>
          <w:tcPr>
            <w:tcW w:w="10456" w:type="dxa"/>
            <w:gridSpan w:val="2"/>
            <w:shd w:val="clear" w:color="auto" w:fill="BDD6EE" w:themeFill="accent5" w:themeFillTint="66"/>
          </w:tcPr>
          <w:p w14:paraId="09F92C2B" w14:textId="77777777" w:rsidR="00C1166A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Plenary</w:t>
            </w:r>
          </w:p>
        </w:tc>
      </w:tr>
      <w:tr w:rsidR="00C1166A" w:rsidRPr="00E16078" w14:paraId="7EEEA06C" w14:textId="77777777" w:rsidTr="00F45E43">
        <w:tc>
          <w:tcPr>
            <w:tcW w:w="8057" w:type="dxa"/>
            <w:shd w:val="clear" w:color="auto" w:fill="FFFFFF" w:themeFill="background1"/>
          </w:tcPr>
          <w:p w14:paraId="67ADE1B9" w14:textId="77777777" w:rsidR="00C1166A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Feedback on walt/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wilf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– thumbs for 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self assessment</w:t>
            </w:r>
            <w:proofErr w:type="spellEnd"/>
          </w:p>
          <w:p w14:paraId="14B97656" w14:textId="6090473A" w:rsidR="00C1166A" w:rsidRPr="006613FF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Next week</w:t>
            </w:r>
            <w:r w:rsidR="00680146">
              <w:rPr>
                <w:rFonts w:ascii="Comic Sans MS" w:hAnsi="Comic Sans MS"/>
                <w:b/>
                <w:sz w:val="18"/>
              </w:rPr>
              <w:t xml:space="preserve">: </w:t>
            </w:r>
            <w:r w:rsidR="00602BDF">
              <w:rPr>
                <w:rFonts w:ascii="Comic Sans MS" w:hAnsi="Comic Sans MS"/>
                <w:b/>
                <w:sz w:val="18"/>
              </w:rPr>
              <w:t>writ</w:t>
            </w:r>
            <w:r w:rsidR="00680146">
              <w:rPr>
                <w:rFonts w:ascii="Comic Sans MS" w:hAnsi="Comic Sans MS"/>
                <w:b/>
                <w:sz w:val="18"/>
              </w:rPr>
              <w:t>e</w:t>
            </w:r>
            <w:r w:rsidR="00602BDF">
              <w:rPr>
                <w:rFonts w:ascii="Comic Sans MS" w:hAnsi="Comic Sans MS"/>
                <w:b/>
                <w:sz w:val="18"/>
              </w:rPr>
              <w:t xml:space="preserve"> a report on </w:t>
            </w:r>
            <w:r>
              <w:rPr>
                <w:rFonts w:ascii="Comic Sans MS" w:hAnsi="Comic Sans MS"/>
                <w:b/>
                <w:sz w:val="18"/>
              </w:rPr>
              <w:t>cold water shock.</w:t>
            </w:r>
          </w:p>
        </w:tc>
        <w:tc>
          <w:tcPr>
            <w:tcW w:w="2399" w:type="dxa"/>
            <w:shd w:val="clear" w:color="auto" w:fill="FFFFFF" w:themeFill="background1"/>
          </w:tcPr>
          <w:p w14:paraId="29FD8BF3" w14:textId="77777777" w:rsidR="00C1166A" w:rsidRPr="001B387C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 w:rsidRPr="0029746A">
              <w:rPr>
                <w:rFonts w:ascii="Comic Sans MS" w:hAnsi="Comic Sans MS"/>
                <w:b/>
                <w:sz w:val="18"/>
              </w:rPr>
              <w:t>Recap main points of lesson</w:t>
            </w:r>
          </w:p>
        </w:tc>
      </w:tr>
    </w:tbl>
    <w:p w14:paraId="1631F82F" w14:textId="77777777" w:rsidR="00C1166A" w:rsidRPr="002F5E0D" w:rsidRDefault="00C1166A" w:rsidP="00C1166A">
      <w:pPr>
        <w:rPr>
          <w:rFonts w:ascii="Comic Sans MS" w:hAnsi="Comic Sans MS"/>
          <w:b/>
          <w:bCs/>
          <w:lang w:val="en-US"/>
        </w:rPr>
      </w:pPr>
    </w:p>
    <w:p w14:paraId="573AE38C" w14:textId="77777777" w:rsidR="002131FF" w:rsidRDefault="00E75D9C"/>
    <w:sectPr w:rsidR="002131FF" w:rsidSect="00C11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060D"/>
    <w:multiLevelType w:val="hybridMultilevel"/>
    <w:tmpl w:val="BD54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100B2"/>
    <w:multiLevelType w:val="hybridMultilevel"/>
    <w:tmpl w:val="84AA097C"/>
    <w:lvl w:ilvl="0" w:tplc="94A60E8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77985E9E"/>
    <w:multiLevelType w:val="hybridMultilevel"/>
    <w:tmpl w:val="349A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31"/>
    <w:rsid w:val="00121AA2"/>
    <w:rsid w:val="00203C8A"/>
    <w:rsid w:val="00206521"/>
    <w:rsid w:val="0038681D"/>
    <w:rsid w:val="003D0CFB"/>
    <w:rsid w:val="004C0C18"/>
    <w:rsid w:val="005A4A97"/>
    <w:rsid w:val="00602BDF"/>
    <w:rsid w:val="00640EA3"/>
    <w:rsid w:val="00680146"/>
    <w:rsid w:val="00711F2F"/>
    <w:rsid w:val="00760DD1"/>
    <w:rsid w:val="007F628A"/>
    <w:rsid w:val="00812CC9"/>
    <w:rsid w:val="00AC2C31"/>
    <w:rsid w:val="00B54123"/>
    <w:rsid w:val="00C1166A"/>
    <w:rsid w:val="00C4535C"/>
    <w:rsid w:val="00D014DA"/>
    <w:rsid w:val="00E75D9C"/>
    <w:rsid w:val="00E95561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0900"/>
  <w15:chartTrackingRefBased/>
  <w15:docId w15:val="{F433DEF9-76CD-4082-90DA-186F7783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jesearle152@gmail.com</dc:creator>
  <cp:keywords/>
  <dc:description/>
  <cp:lastModifiedBy>jesearle152@gmail.com</cp:lastModifiedBy>
  <cp:revision>12</cp:revision>
  <dcterms:created xsi:type="dcterms:W3CDTF">2021-07-29T11:13:00Z</dcterms:created>
  <dcterms:modified xsi:type="dcterms:W3CDTF">2021-10-01T19:19:00Z</dcterms:modified>
</cp:coreProperties>
</file>